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A39" w:rsidRDefault="00234A39" w:rsidP="00234A39">
      <w:proofErr w:type="spellStart"/>
      <w:r>
        <w:t>Int</w:t>
      </w:r>
      <w:proofErr w:type="spellEnd"/>
      <w:r>
        <w:t xml:space="preserve"> J Surg. 2017 Aug</w:t>
      </w:r>
      <w:proofErr w:type="gramStart"/>
      <w:r>
        <w:t>;44:87</w:t>
      </w:r>
      <w:proofErr w:type="gramEnd"/>
      <w:r>
        <w:t xml:space="preserve">-93. </w:t>
      </w:r>
      <w:proofErr w:type="spellStart"/>
      <w:proofErr w:type="gramStart"/>
      <w:r>
        <w:t>doi</w:t>
      </w:r>
      <w:proofErr w:type="spellEnd"/>
      <w:proofErr w:type="gramEnd"/>
      <w:r>
        <w:t xml:space="preserve">: 10.1016/j.ijsu.2017.06.039. </w:t>
      </w:r>
      <w:proofErr w:type="spellStart"/>
      <w:r>
        <w:t>Epub</w:t>
      </w:r>
      <w:proofErr w:type="spellEnd"/>
      <w:r>
        <w:t xml:space="preserve"> 2017 Jun 16.</w:t>
      </w:r>
    </w:p>
    <w:p w:rsidR="00234A39" w:rsidRDefault="00234A39" w:rsidP="00234A39">
      <w:r w:rsidRPr="00234A39">
        <w:rPr>
          <w:b/>
        </w:rPr>
        <w:t>Oral versus topical calcium channel blockers for chronic anal fissure-a systematic review and meta-analysis of randomized controlled trials.</w:t>
      </w:r>
    </w:p>
    <w:p w:rsidR="00234A39" w:rsidRDefault="00234A39" w:rsidP="00234A39">
      <w:proofErr w:type="spellStart"/>
      <w:r>
        <w:t>Sahebally</w:t>
      </w:r>
      <w:proofErr w:type="spellEnd"/>
      <w:r>
        <w:t xml:space="preserve"> SM1, Ahmed K2, </w:t>
      </w:r>
      <w:proofErr w:type="spellStart"/>
      <w:r>
        <w:t>Cerneveciute</w:t>
      </w:r>
      <w:proofErr w:type="spellEnd"/>
      <w:r>
        <w:t xml:space="preserve"> R2, Iqbal A3, Walsh SR2, Joyce MR3.</w:t>
      </w:r>
    </w:p>
    <w:p w:rsidR="00234A39" w:rsidRDefault="00234A39" w:rsidP="00234A39">
      <w:r>
        <w:t>Abstract</w:t>
      </w:r>
    </w:p>
    <w:p w:rsidR="00234A39" w:rsidRDefault="00234A39" w:rsidP="00234A39">
      <w:r>
        <w:t xml:space="preserve">BACKGROUND: </w:t>
      </w:r>
    </w:p>
    <w:p w:rsidR="00234A39" w:rsidRDefault="00234A39" w:rsidP="00234A39">
      <w:r>
        <w:t xml:space="preserve">Chemical </w:t>
      </w:r>
      <w:proofErr w:type="spellStart"/>
      <w:r>
        <w:t>sphincterotomy</w:t>
      </w:r>
      <w:proofErr w:type="spellEnd"/>
      <w:r>
        <w:t xml:space="preserve"> with pharmacological agents is recommended as first line therapy for chronic anal fissures (CAF). Calcium channel blockers (CCB) are associated with similar efficacy but fewer side effects compared to nitrates. However, the optimal formulation (oral versus topical) is unknown. We aimed to perform a systematic review and meta-analysis to compare the effectiveness of oral and topical CCB in the treatment of CAF.</w:t>
      </w:r>
    </w:p>
    <w:p w:rsidR="00234A39" w:rsidRDefault="00234A39" w:rsidP="00234A39">
      <w:r>
        <w:t xml:space="preserve">METHODS: </w:t>
      </w:r>
    </w:p>
    <w:p w:rsidR="00234A39" w:rsidRDefault="00234A39" w:rsidP="00234A39">
      <w:r>
        <w:t xml:space="preserve">PubMed and </w:t>
      </w:r>
      <w:proofErr w:type="spellStart"/>
      <w:r>
        <w:t>Embase</w:t>
      </w:r>
      <w:proofErr w:type="spellEnd"/>
      <w:r>
        <w:t xml:space="preserve"> online databases were searched for relevant articles. Two independent reviewers performed methodological assessment and data extraction. Random effects models were used to calculate pooled effect size estimates. A sensitivity analysis was also carried out.</w:t>
      </w:r>
    </w:p>
    <w:p w:rsidR="00234A39" w:rsidRDefault="00234A39" w:rsidP="00234A39">
      <w:r>
        <w:t xml:space="preserve">RESULTS: </w:t>
      </w:r>
    </w:p>
    <w:p w:rsidR="00234A39" w:rsidRDefault="00234A39" w:rsidP="00234A39">
      <w:r>
        <w:t>Four randomized controlled trials describing 279 patients (138 in oral, 141 in topical group) were examined. There was significant heterogeneity among studies. On random effects analysis, topical CCB were associated with a significantly lower rate of unhealed fissure (21.3% vs. 38.4%; OR = 2.65, 95% CI = 1.50 to 4.69, p = 0.0008) when compared to oral therapy. However, there were no significant differences in fissure recurrence (5.4% vs. 5.5%; OR = 1.01, 95% CI = 0.31 to 3.33, p = 0.98) or side effects (15.6% vs. 39.1%; OR = 4.54, 95% CI = 0.46 to 44.3, p = 0.19) between topical and oral CCB. On sensitivity analysis, having excluded the most heavily biased trial, topical CCB were associated with significantly fewer side effects compared to oral therapy (4.3% vs. 38.0%; OR = 13.16, 95% CI = 5.05 to 34.3, p &lt; 0.00001).</w:t>
      </w:r>
    </w:p>
    <w:p w:rsidR="00234A39" w:rsidRDefault="00234A39" w:rsidP="00234A39">
      <w:r>
        <w:t xml:space="preserve">CONCLUSIONS: </w:t>
      </w:r>
    </w:p>
    <w:p w:rsidR="006F3F13" w:rsidRDefault="00234A39" w:rsidP="00234A39">
      <w:r>
        <w:t>Topical CCB are associated with better healing and fewer side effects when compared to oral therapy but there is no difference in recurrence rates.</w:t>
      </w:r>
    </w:p>
    <w:p w:rsidR="00234A39" w:rsidRDefault="00234A39" w:rsidP="00234A39"/>
    <w:p w:rsidR="00014ED6" w:rsidRPr="00014ED6" w:rsidRDefault="00014ED6" w:rsidP="00014ED6">
      <w:pPr>
        <w:spacing w:after="0" w:line="360" w:lineRule="atLeast"/>
        <w:rPr>
          <w:rFonts w:ascii="NexusSans" w:eastAsia="Times New Roman" w:hAnsi="NexusSans" w:cs="Arial"/>
          <w:color w:val="505050"/>
          <w:sz w:val="24"/>
          <w:szCs w:val="24"/>
          <w:lang w:val="en"/>
        </w:rPr>
      </w:pPr>
      <w:r w:rsidRPr="00014ED6">
        <w:rPr>
          <w:rFonts w:ascii="NexusSans" w:eastAsia="Times New Roman" w:hAnsi="NexusSans" w:cs="Arial"/>
          <w:noProof/>
          <w:color w:val="505050"/>
          <w:sz w:val="24"/>
          <w:szCs w:val="24"/>
        </w:rPr>
        <w:lastRenderedPageBreak/>
        <w:drawing>
          <wp:inline distT="0" distB="0" distL="0" distR="0">
            <wp:extent cx="6562725" cy="1647825"/>
            <wp:effectExtent l="0" t="0" r="9525" b="9525"/>
            <wp:docPr id="4" name="Picture 4" descr="F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62725" cy="1647825"/>
                    </a:xfrm>
                    <a:prstGeom prst="rect">
                      <a:avLst/>
                    </a:prstGeom>
                    <a:noFill/>
                    <a:ln>
                      <a:noFill/>
                    </a:ln>
                  </pic:spPr>
                </pic:pic>
              </a:graphicData>
            </a:graphic>
          </wp:inline>
        </w:drawing>
      </w:r>
    </w:p>
    <w:p w:rsidR="00014ED6" w:rsidRPr="00014ED6" w:rsidRDefault="00014ED6" w:rsidP="00014ED6">
      <w:pPr>
        <w:spacing w:after="240" w:line="330" w:lineRule="atLeast"/>
        <w:ind w:left="360" w:right="360"/>
        <w:rPr>
          <w:rFonts w:eastAsia="Times New Roman" w:cs="Arial"/>
          <w:color w:val="323232"/>
          <w:sz w:val="24"/>
          <w:szCs w:val="24"/>
          <w:lang w:val="en"/>
        </w:rPr>
      </w:pPr>
      <w:r w:rsidRPr="00014ED6">
        <w:rPr>
          <w:rFonts w:eastAsia="Times New Roman" w:cs="Arial"/>
          <w:color w:val="323232"/>
          <w:sz w:val="24"/>
          <w:szCs w:val="24"/>
          <w:lang w:val="en"/>
        </w:rPr>
        <w:t>Fig. 2. Meta-analysis of unhealed fissure rates of topical and oral CCB.</w:t>
      </w:r>
    </w:p>
    <w:p w:rsidR="00234A39" w:rsidRPr="00014ED6" w:rsidRDefault="00014ED6" w:rsidP="00234A39">
      <w:r w:rsidRPr="00014ED6">
        <w:t xml:space="preserve">All 4 studies reported healing failure rates (n = 279). This was 38.4% in the oral group, compared to 21.3% in the topical group. </w:t>
      </w:r>
      <w:r>
        <w:t xml:space="preserve">It </w:t>
      </w:r>
      <w:r w:rsidRPr="00014ED6">
        <w:t xml:space="preserve">shows the topical route to result in better </w:t>
      </w:r>
      <w:proofErr w:type="spellStart"/>
      <w:r>
        <w:t>amd</w:t>
      </w:r>
      <w:proofErr w:type="spellEnd"/>
      <w:r w:rsidRPr="00014ED6">
        <w:t xml:space="preserve"> the difference was statistically significant (OR = 2.65, 95% CI = 1.50 to 4.69, p = 0.0008; Chi [2] = 0.54 (</w:t>
      </w:r>
      <w:proofErr w:type="spellStart"/>
      <w:proofErr w:type="gramStart"/>
      <w:r w:rsidRPr="00014ED6">
        <w:t>df</w:t>
      </w:r>
      <w:proofErr w:type="spellEnd"/>
      <w:proofErr w:type="gramEnd"/>
      <w:r w:rsidRPr="00014ED6">
        <w:t xml:space="preserve"> = 3), p = 0.91; I2 = 0%)</w:t>
      </w:r>
    </w:p>
    <w:p w:rsidR="00234A39" w:rsidRPr="00234A39" w:rsidRDefault="00234A39" w:rsidP="00234A39">
      <w:pPr>
        <w:spacing w:after="0" w:line="360" w:lineRule="atLeast"/>
        <w:rPr>
          <w:rFonts w:eastAsia="Times New Roman" w:cs="Arial"/>
          <w:color w:val="505050"/>
          <w:sz w:val="24"/>
          <w:szCs w:val="24"/>
          <w:lang w:val="en"/>
        </w:rPr>
      </w:pPr>
      <w:r w:rsidRPr="00014ED6">
        <w:rPr>
          <w:rFonts w:eastAsia="Times New Roman" w:cs="Arial"/>
          <w:noProof/>
          <w:color w:val="505050"/>
          <w:sz w:val="24"/>
          <w:szCs w:val="24"/>
        </w:rPr>
        <w:drawing>
          <wp:inline distT="0" distB="0" distL="0" distR="0">
            <wp:extent cx="6534150" cy="1647825"/>
            <wp:effectExtent l="0" t="0" r="0" b="9525"/>
            <wp:docPr id="1" name="Picture 1" descr="Fi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34150" cy="1647825"/>
                    </a:xfrm>
                    <a:prstGeom prst="rect">
                      <a:avLst/>
                    </a:prstGeom>
                    <a:noFill/>
                    <a:ln>
                      <a:noFill/>
                    </a:ln>
                  </pic:spPr>
                </pic:pic>
              </a:graphicData>
            </a:graphic>
          </wp:inline>
        </w:drawing>
      </w:r>
    </w:p>
    <w:p w:rsidR="00234A39" w:rsidRPr="00014ED6" w:rsidRDefault="00234A39" w:rsidP="00234A39">
      <w:pPr>
        <w:spacing w:after="240" w:line="330" w:lineRule="atLeast"/>
        <w:ind w:left="360" w:right="360"/>
        <w:rPr>
          <w:rFonts w:eastAsia="Times New Roman" w:cs="Arial"/>
          <w:color w:val="323232"/>
          <w:sz w:val="24"/>
          <w:szCs w:val="24"/>
          <w:lang w:val="en"/>
        </w:rPr>
      </w:pPr>
      <w:r w:rsidRPr="00014ED6">
        <w:rPr>
          <w:rFonts w:eastAsia="Times New Roman" w:cs="Arial"/>
          <w:color w:val="323232"/>
          <w:sz w:val="24"/>
          <w:szCs w:val="24"/>
          <w:lang w:val="en"/>
        </w:rPr>
        <w:t>Fig. 3</w:t>
      </w:r>
      <w:r w:rsidRPr="00234A39">
        <w:rPr>
          <w:rFonts w:eastAsia="Times New Roman" w:cs="Arial"/>
          <w:color w:val="323232"/>
          <w:sz w:val="24"/>
          <w:szCs w:val="24"/>
          <w:lang w:val="en"/>
        </w:rPr>
        <w:t>. Meta-analysis of side effects of topical and oral CCB.</w:t>
      </w:r>
    </w:p>
    <w:p w:rsidR="0006795F" w:rsidRDefault="00014ED6" w:rsidP="0006795F">
      <w:pPr>
        <w:spacing w:line="0" w:lineRule="atLeast"/>
        <w:rPr>
          <w:rFonts w:eastAsia="Times New Roman" w:cs="Arial"/>
          <w:lang w:val="en"/>
        </w:rPr>
      </w:pPr>
      <w:r w:rsidRPr="00014ED6">
        <w:rPr>
          <w:rFonts w:eastAsia="Times New Roman" w:cs="Arial"/>
          <w:lang w:val="en"/>
        </w:rPr>
        <w:t>All 4 studies reported CCB side effects (n = 279). This was 39.1% in the oral group, compared to 15.6% in the topical group. Although notably higher for oral CCB therapy, on random effects analysis, the difference failed to reach statistical significance (OR = 4.54, 95% CI = 0.46 to 44.3, p = 0.19; Chi [2] = 23.2 (</w:t>
      </w:r>
      <w:proofErr w:type="spellStart"/>
      <w:proofErr w:type="gramStart"/>
      <w:r w:rsidRPr="00014ED6">
        <w:rPr>
          <w:rFonts w:eastAsia="Times New Roman" w:cs="Arial"/>
          <w:lang w:val="en"/>
        </w:rPr>
        <w:t>df</w:t>
      </w:r>
      <w:proofErr w:type="spellEnd"/>
      <w:proofErr w:type="gramEnd"/>
      <w:r w:rsidRPr="00014ED6">
        <w:rPr>
          <w:rFonts w:eastAsia="Times New Roman" w:cs="Arial"/>
          <w:lang w:val="en"/>
        </w:rPr>
        <w:t xml:space="preserve"> = 3), p &lt; 0.0001; I2 = 87%)</w:t>
      </w:r>
      <w:r w:rsidR="0006795F">
        <w:rPr>
          <w:rFonts w:eastAsia="Times New Roman" w:cs="Arial"/>
          <w:lang w:val="en"/>
        </w:rPr>
        <w:t xml:space="preserve">. </w:t>
      </w:r>
      <w:r w:rsidR="0006795F" w:rsidRPr="0006795F">
        <w:rPr>
          <w:rFonts w:eastAsia="Times New Roman" w:cs="Arial"/>
          <w:lang w:val="en"/>
        </w:rPr>
        <w:t xml:space="preserve">It shows the topical route and oral route have similar </w:t>
      </w:r>
      <w:r w:rsidR="0006795F">
        <w:rPr>
          <w:rFonts w:eastAsia="Times New Roman" w:cs="Arial"/>
          <w:lang w:val="en"/>
        </w:rPr>
        <w:t>side effects.</w:t>
      </w:r>
    </w:p>
    <w:p w:rsidR="00234A39" w:rsidRPr="00234A39" w:rsidRDefault="0006795F" w:rsidP="0006795F">
      <w:pPr>
        <w:spacing w:line="0" w:lineRule="atLeast"/>
        <w:rPr>
          <w:rFonts w:eastAsia="Times New Roman" w:cs="Arial"/>
          <w:color w:val="505050"/>
          <w:sz w:val="24"/>
          <w:szCs w:val="24"/>
          <w:lang w:val="en"/>
        </w:rPr>
      </w:pPr>
      <w:r w:rsidRPr="0006795F">
        <w:rPr>
          <w:rFonts w:eastAsia="Times New Roman" w:cs="Arial"/>
          <w:lang w:val="en"/>
        </w:rPr>
        <w:t xml:space="preserve"> </w:t>
      </w:r>
      <w:r w:rsidR="00234A39" w:rsidRPr="00014ED6">
        <w:rPr>
          <w:rFonts w:eastAsia="Times New Roman" w:cs="Arial"/>
          <w:noProof/>
          <w:color w:val="505050"/>
          <w:sz w:val="24"/>
          <w:szCs w:val="24"/>
        </w:rPr>
        <w:drawing>
          <wp:inline distT="0" distB="0" distL="0" distR="0">
            <wp:extent cx="6534150" cy="1619250"/>
            <wp:effectExtent l="0" t="0" r="0" b="0"/>
            <wp:docPr id="2" name="Picture 2" descr="Fi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34150" cy="1619250"/>
                    </a:xfrm>
                    <a:prstGeom prst="rect">
                      <a:avLst/>
                    </a:prstGeom>
                    <a:noFill/>
                    <a:ln>
                      <a:noFill/>
                    </a:ln>
                  </pic:spPr>
                </pic:pic>
              </a:graphicData>
            </a:graphic>
          </wp:inline>
        </w:drawing>
      </w:r>
    </w:p>
    <w:p w:rsidR="00234A39" w:rsidRDefault="00234A39" w:rsidP="00234A39">
      <w:pPr>
        <w:spacing w:after="240" w:line="330" w:lineRule="atLeast"/>
        <w:ind w:left="360" w:right="360"/>
        <w:rPr>
          <w:rFonts w:eastAsia="Times New Roman" w:cs="Arial"/>
          <w:color w:val="323232"/>
          <w:sz w:val="24"/>
          <w:szCs w:val="24"/>
          <w:lang w:val="en"/>
        </w:rPr>
      </w:pPr>
      <w:r w:rsidRPr="00014ED6">
        <w:rPr>
          <w:rFonts w:eastAsia="Times New Roman" w:cs="Arial"/>
          <w:color w:val="323232"/>
          <w:sz w:val="24"/>
          <w:szCs w:val="24"/>
          <w:lang w:val="en"/>
        </w:rPr>
        <w:t>Fig. 4</w:t>
      </w:r>
      <w:r w:rsidRPr="00234A39">
        <w:rPr>
          <w:rFonts w:eastAsia="Times New Roman" w:cs="Arial"/>
          <w:color w:val="323232"/>
          <w:sz w:val="24"/>
          <w:szCs w:val="24"/>
          <w:lang w:val="en"/>
        </w:rPr>
        <w:t>. Meta-analysis of fissure recurrence rates of topical and oral CCB.</w:t>
      </w:r>
    </w:p>
    <w:p w:rsidR="00014ED6" w:rsidRDefault="00014ED6" w:rsidP="00014ED6">
      <w:pPr>
        <w:spacing w:line="0" w:lineRule="atLeast"/>
        <w:ind w:right="360"/>
        <w:rPr>
          <w:rFonts w:eastAsia="Times New Roman" w:cs="Arial"/>
          <w:color w:val="323232"/>
          <w:sz w:val="24"/>
          <w:szCs w:val="24"/>
          <w:lang w:val="en"/>
        </w:rPr>
      </w:pPr>
      <w:r w:rsidRPr="00014ED6">
        <w:rPr>
          <w:rFonts w:eastAsia="Times New Roman" w:cs="Arial"/>
          <w:color w:val="323232"/>
          <w:sz w:val="24"/>
          <w:szCs w:val="24"/>
          <w:lang w:val="en"/>
        </w:rPr>
        <w:lastRenderedPageBreak/>
        <w:t>Only 3 studies reported fissure recurrence (n = 219). This was 5.5% in the oral group, compared to 5.4% in the topical group. On random effects analysis, the difference was not statistically significant (OR = 1.01, 95% CI = 0.31 to 3.33, p = 0.98; Chi [2] = 0.48 (</w:t>
      </w:r>
      <w:proofErr w:type="spellStart"/>
      <w:proofErr w:type="gramStart"/>
      <w:r w:rsidRPr="00014ED6">
        <w:rPr>
          <w:rFonts w:eastAsia="Times New Roman" w:cs="Arial"/>
          <w:color w:val="323232"/>
          <w:sz w:val="24"/>
          <w:szCs w:val="24"/>
          <w:lang w:val="en"/>
        </w:rPr>
        <w:t>df</w:t>
      </w:r>
      <w:proofErr w:type="spellEnd"/>
      <w:proofErr w:type="gramEnd"/>
      <w:r w:rsidRPr="00014ED6">
        <w:rPr>
          <w:rFonts w:eastAsia="Times New Roman" w:cs="Arial"/>
          <w:color w:val="323232"/>
          <w:sz w:val="24"/>
          <w:szCs w:val="24"/>
          <w:lang w:val="en"/>
        </w:rPr>
        <w:t xml:space="preserve"> = 2), p = 0.79; I2 = 0%)</w:t>
      </w:r>
      <w:r>
        <w:rPr>
          <w:rFonts w:eastAsia="Times New Roman" w:cs="Arial"/>
          <w:color w:val="323232"/>
          <w:sz w:val="24"/>
          <w:szCs w:val="24"/>
          <w:lang w:val="en"/>
        </w:rPr>
        <w:t xml:space="preserve">. It </w:t>
      </w:r>
      <w:r w:rsidRPr="00014ED6">
        <w:rPr>
          <w:rFonts w:eastAsia="Times New Roman" w:cs="Arial"/>
          <w:color w:val="323232"/>
          <w:sz w:val="24"/>
          <w:szCs w:val="24"/>
          <w:lang w:val="en"/>
        </w:rPr>
        <w:t xml:space="preserve">shows the topical route </w:t>
      </w:r>
      <w:r w:rsidR="0006795F">
        <w:rPr>
          <w:rFonts w:eastAsia="Times New Roman" w:cs="Arial"/>
          <w:color w:val="323232"/>
          <w:sz w:val="24"/>
          <w:szCs w:val="24"/>
          <w:lang w:val="en"/>
        </w:rPr>
        <w:t xml:space="preserve">and oral route have </w:t>
      </w:r>
      <w:r w:rsidRPr="00014ED6">
        <w:rPr>
          <w:rFonts w:eastAsia="Times New Roman" w:cs="Arial"/>
          <w:color w:val="323232"/>
          <w:sz w:val="24"/>
          <w:szCs w:val="24"/>
          <w:lang w:val="en"/>
        </w:rPr>
        <w:t>similar recurrence</w:t>
      </w:r>
      <w:r w:rsidR="0006795F">
        <w:rPr>
          <w:rFonts w:eastAsia="Times New Roman" w:cs="Arial"/>
          <w:color w:val="323232"/>
          <w:sz w:val="24"/>
          <w:szCs w:val="24"/>
          <w:lang w:val="en"/>
        </w:rPr>
        <w:t xml:space="preserve"> rate.</w:t>
      </w:r>
    </w:p>
    <w:p w:rsidR="0006795F" w:rsidRPr="00234A39" w:rsidRDefault="0006795F" w:rsidP="00014ED6">
      <w:pPr>
        <w:spacing w:line="0" w:lineRule="atLeast"/>
        <w:ind w:right="360"/>
        <w:rPr>
          <w:rFonts w:eastAsia="Times New Roman" w:cs="Arial"/>
          <w:color w:val="323232"/>
          <w:sz w:val="24"/>
          <w:szCs w:val="24"/>
          <w:lang w:val="en"/>
        </w:rPr>
      </w:pPr>
      <w:r w:rsidRPr="0006795F">
        <w:rPr>
          <w:rFonts w:eastAsia="Times New Roman" w:cs="Arial"/>
          <w:color w:val="323232"/>
          <w:sz w:val="24"/>
          <w:szCs w:val="24"/>
          <w:lang w:val="en"/>
        </w:rPr>
        <w:t>Combined data from the current meta-analysis demonstrate that topical CCB are associated with significantly better fissure healing compared to oral CCB but that there is no difference in side effects or fissure recurrence between the 2 formulations.</w:t>
      </w:r>
      <w:r>
        <w:rPr>
          <w:rFonts w:eastAsia="Times New Roman" w:cs="Arial"/>
          <w:color w:val="323232"/>
          <w:sz w:val="24"/>
          <w:szCs w:val="24"/>
          <w:lang w:val="en"/>
        </w:rPr>
        <w:t xml:space="preserve"> It has important clinical significance. </w:t>
      </w:r>
      <w:r w:rsidRPr="0006795F">
        <w:rPr>
          <w:rFonts w:eastAsia="Times New Roman" w:cs="Arial"/>
          <w:color w:val="323232"/>
          <w:sz w:val="24"/>
          <w:szCs w:val="24"/>
          <w:lang w:val="en"/>
        </w:rPr>
        <w:t xml:space="preserve">Further trials evaluating head-to-head comparisons of oral and topical </w:t>
      </w:r>
      <w:proofErr w:type="spellStart"/>
      <w:r w:rsidRPr="0006795F">
        <w:rPr>
          <w:rFonts w:eastAsia="Times New Roman" w:cs="Arial"/>
          <w:color w:val="323232"/>
          <w:sz w:val="24"/>
          <w:szCs w:val="24"/>
          <w:lang w:val="en"/>
        </w:rPr>
        <w:t>nifedipine</w:t>
      </w:r>
      <w:proofErr w:type="spellEnd"/>
      <w:r w:rsidRPr="0006795F">
        <w:rPr>
          <w:rFonts w:eastAsia="Times New Roman" w:cs="Arial"/>
          <w:color w:val="323232"/>
          <w:sz w:val="24"/>
          <w:szCs w:val="24"/>
          <w:lang w:val="en"/>
        </w:rPr>
        <w:t xml:space="preserve"> as well as diltiazem with adequate sample sizes and follow up are needed to </w:t>
      </w:r>
      <w:r>
        <w:rPr>
          <w:rFonts w:eastAsia="Times New Roman" w:cs="Arial"/>
          <w:color w:val="323232"/>
          <w:sz w:val="24"/>
          <w:szCs w:val="24"/>
          <w:lang w:val="en"/>
        </w:rPr>
        <w:t>confirm it</w:t>
      </w:r>
      <w:r w:rsidRPr="0006795F">
        <w:rPr>
          <w:rFonts w:eastAsia="Times New Roman" w:cs="Arial"/>
          <w:color w:val="323232"/>
          <w:sz w:val="24"/>
          <w:szCs w:val="24"/>
          <w:lang w:val="en"/>
        </w:rPr>
        <w:t>.</w:t>
      </w:r>
      <w:bookmarkStart w:id="0" w:name="_GoBack"/>
      <w:bookmarkEnd w:id="0"/>
    </w:p>
    <w:sectPr w:rsidR="0006795F" w:rsidRPr="00234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xus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415C1"/>
    <w:multiLevelType w:val="multilevel"/>
    <w:tmpl w:val="7696D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53226B"/>
    <w:multiLevelType w:val="multilevel"/>
    <w:tmpl w:val="5A387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67501E"/>
    <w:multiLevelType w:val="multilevel"/>
    <w:tmpl w:val="A204D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741517"/>
    <w:multiLevelType w:val="multilevel"/>
    <w:tmpl w:val="99E8C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A39"/>
    <w:rsid w:val="00014ED6"/>
    <w:rsid w:val="0006795F"/>
    <w:rsid w:val="00234A39"/>
    <w:rsid w:val="009C4B16"/>
    <w:rsid w:val="00C05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C5BDB-3E81-4CCF-8E9C-84739DB9F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s2">
    <w:name w:val="captions2"/>
    <w:basedOn w:val="Normal"/>
    <w:rsid w:val="00234A39"/>
    <w:pPr>
      <w:spacing w:before="240" w:after="240" w:line="330" w:lineRule="atLeast"/>
      <w:ind w:left="360" w:right="360"/>
    </w:pPr>
    <w:rPr>
      <w:rFonts w:ascii="Times New Roman" w:eastAsia="Times New Roman" w:hAnsi="Times New Roman" w:cs="Times New Roman"/>
      <w:color w:val="323232"/>
      <w:sz w:val="24"/>
      <w:szCs w:val="24"/>
    </w:rPr>
  </w:style>
  <w:style w:type="character" w:customStyle="1" w:styleId="anchor-text">
    <w:name w:val="anchor-text"/>
    <w:basedOn w:val="DefaultParagraphFont"/>
    <w:rsid w:val="00234A39"/>
  </w:style>
  <w:style w:type="character" w:customStyle="1" w:styleId="label5">
    <w:name w:val="label5"/>
    <w:basedOn w:val="DefaultParagraphFont"/>
    <w:rsid w:val="00234A39"/>
  </w:style>
  <w:style w:type="character" w:styleId="Hyperlink">
    <w:name w:val="Hyperlink"/>
    <w:basedOn w:val="DefaultParagraphFont"/>
    <w:uiPriority w:val="99"/>
    <w:semiHidden/>
    <w:unhideWhenUsed/>
    <w:rsid w:val="00234A39"/>
    <w:rPr>
      <w:strike w:val="0"/>
      <w:dstrike w:val="0"/>
      <w:color w:val="007398"/>
      <w:u w:val="none"/>
      <w:effect w:val="none"/>
      <w:shd w:val="clear" w:color="auto" w:fill="auto"/>
    </w:rPr>
  </w:style>
  <w:style w:type="character" w:styleId="Emphasis">
    <w:name w:val="Emphasis"/>
    <w:basedOn w:val="DefaultParagraphFont"/>
    <w:uiPriority w:val="20"/>
    <w:qFormat/>
    <w:rsid w:val="00234A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058519">
      <w:bodyDiv w:val="1"/>
      <w:marLeft w:val="0"/>
      <w:marRight w:val="0"/>
      <w:marTop w:val="0"/>
      <w:marBottom w:val="0"/>
      <w:divBdr>
        <w:top w:val="none" w:sz="0" w:space="0" w:color="auto"/>
        <w:left w:val="none" w:sz="0" w:space="0" w:color="auto"/>
        <w:bottom w:val="none" w:sz="0" w:space="0" w:color="auto"/>
        <w:right w:val="none" w:sz="0" w:space="0" w:color="auto"/>
      </w:divBdr>
      <w:divsChild>
        <w:div w:id="2010480277">
          <w:marLeft w:val="0"/>
          <w:marRight w:val="0"/>
          <w:marTop w:val="0"/>
          <w:marBottom w:val="0"/>
          <w:divBdr>
            <w:top w:val="none" w:sz="0" w:space="0" w:color="auto"/>
            <w:left w:val="none" w:sz="0" w:space="0" w:color="auto"/>
            <w:bottom w:val="none" w:sz="0" w:space="0" w:color="auto"/>
            <w:right w:val="none" w:sz="0" w:space="0" w:color="auto"/>
          </w:divBdr>
          <w:divsChild>
            <w:div w:id="1144657724">
              <w:marLeft w:val="0"/>
              <w:marRight w:val="0"/>
              <w:marTop w:val="100"/>
              <w:marBottom w:val="100"/>
              <w:divBdr>
                <w:top w:val="none" w:sz="0" w:space="0" w:color="auto"/>
                <w:left w:val="none" w:sz="0" w:space="0" w:color="auto"/>
                <w:bottom w:val="none" w:sz="0" w:space="0" w:color="auto"/>
                <w:right w:val="none" w:sz="0" w:space="0" w:color="auto"/>
              </w:divBdr>
              <w:divsChild>
                <w:div w:id="1653290139">
                  <w:marLeft w:val="0"/>
                  <w:marRight w:val="0"/>
                  <w:marTop w:val="0"/>
                  <w:marBottom w:val="0"/>
                  <w:divBdr>
                    <w:top w:val="none" w:sz="0" w:space="0" w:color="auto"/>
                    <w:left w:val="none" w:sz="0" w:space="0" w:color="auto"/>
                    <w:bottom w:val="none" w:sz="0" w:space="0" w:color="auto"/>
                    <w:right w:val="none" w:sz="0" w:space="0" w:color="auto"/>
                  </w:divBdr>
                  <w:divsChild>
                    <w:div w:id="1008097716">
                      <w:marLeft w:val="0"/>
                      <w:marRight w:val="0"/>
                      <w:marTop w:val="0"/>
                      <w:marBottom w:val="0"/>
                      <w:divBdr>
                        <w:top w:val="none" w:sz="0" w:space="0" w:color="auto"/>
                        <w:left w:val="none" w:sz="0" w:space="0" w:color="auto"/>
                        <w:bottom w:val="none" w:sz="0" w:space="0" w:color="auto"/>
                        <w:right w:val="none" w:sz="0" w:space="0" w:color="auto"/>
                      </w:divBdr>
                      <w:divsChild>
                        <w:div w:id="753015411">
                          <w:marLeft w:val="0"/>
                          <w:marRight w:val="0"/>
                          <w:marTop w:val="100"/>
                          <w:marBottom w:val="100"/>
                          <w:divBdr>
                            <w:top w:val="none" w:sz="0" w:space="0" w:color="auto"/>
                            <w:left w:val="none" w:sz="0" w:space="0" w:color="auto"/>
                            <w:bottom w:val="none" w:sz="0" w:space="0" w:color="auto"/>
                            <w:right w:val="none" w:sz="0" w:space="0" w:color="auto"/>
                          </w:divBdr>
                          <w:divsChild>
                            <w:div w:id="2110850426">
                              <w:marLeft w:val="0"/>
                              <w:marRight w:val="0"/>
                              <w:marTop w:val="0"/>
                              <w:marBottom w:val="0"/>
                              <w:divBdr>
                                <w:top w:val="none" w:sz="0" w:space="0" w:color="auto"/>
                                <w:left w:val="none" w:sz="0" w:space="0" w:color="auto"/>
                                <w:bottom w:val="none" w:sz="0" w:space="0" w:color="auto"/>
                                <w:right w:val="none" w:sz="0" w:space="0" w:color="auto"/>
                              </w:divBdr>
                              <w:divsChild>
                                <w:div w:id="842746431">
                                  <w:marLeft w:val="0"/>
                                  <w:marRight w:val="0"/>
                                  <w:marTop w:val="0"/>
                                  <w:marBottom w:val="0"/>
                                  <w:divBdr>
                                    <w:top w:val="none" w:sz="0" w:space="0" w:color="auto"/>
                                    <w:left w:val="none" w:sz="0" w:space="0" w:color="auto"/>
                                    <w:bottom w:val="none" w:sz="0" w:space="0" w:color="auto"/>
                                    <w:right w:val="none" w:sz="0" w:space="0" w:color="auto"/>
                                  </w:divBdr>
                                  <w:divsChild>
                                    <w:div w:id="20543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2820916">
      <w:bodyDiv w:val="1"/>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856335576">
              <w:marLeft w:val="0"/>
              <w:marRight w:val="0"/>
              <w:marTop w:val="100"/>
              <w:marBottom w:val="100"/>
              <w:divBdr>
                <w:top w:val="none" w:sz="0" w:space="0" w:color="auto"/>
                <w:left w:val="none" w:sz="0" w:space="0" w:color="auto"/>
                <w:bottom w:val="none" w:sz="0" w:space="0" w:color="auto"/>
                <w:right w:val="none" w:sz="0" w:space="0" w:color="auto"/>
              </w:divBdr>
              <w:divsChild>
                <w:div w:id="2084599552">
                  <w:marLeft w:val="0"/>
                  <w:marRight w:val="0"/>
                  <w:marTop w:val="0"/>
                  <w:marBottom w:val="0"/>
                  <w:divBdr>
                    <w:top w:val="none" w:sz="0" w:space="0" w:color="auto"/>
                    <w:left w:val="none" w:sz="0" w:space="0" w:color="auto"/>
                    <w:bottom w:val="none" w:sz="0" w:space="0" w:color="auto"/>
                    <w:right w:val="none" w:sz="0" w:space="0" w:color="auto"/>
                  </w:divBdr>
                  <w:divsChild>
                    <w:div w:id="921451284">
                      <w:marLeft w:val="0"/>
                      <w:marRight w:val="0"/>
                      <w:marTop w:val="0"/>
                      <w:marBottom w:val="0"/>
                      <w:divBdr>
                        <w:top w:val="none" w:sz="0" w:space="0" w:color="auto"/>
                        <w:left w:val="none" w:sz="0" w:space="0" w:color="auto"/>
                        <w:bottom w:val="none" w:sz="0" w:space="0" w:color="auto"/>
                        <w:right w:val="none" w:sz="0" w:space="0" w:color="auto"/>
                      </w:divBdr>
                      <w:divsChild>
                        <w:div w:id="1122335520">
                          <w:marLeft w:val="0"/>
                          <w:marRight w:val="0"/>
                          <w:marTop w:val="100"/>
                          <w:marBottom w:val="100"/>
                          <w:divBdr>
                            <w:top w:val="none" w:sz="0" w:space="0" w:color="auto"/>
                            <w:left w:val="none" w:sz="0" w:space="0" w:color="auto"/>
                            <w:bottom w:val="none" w:sz="0" w:space="0" w:color="auto"/>
                            <w:right w:val="none" w:sz="0" w:space="0" w:color="auto"/>
                          </w:divBdr>
                          <w:divsChild>
                            <w:div w:id="1178616735">
                              <w:marLeft w:val="0"/>
                              <w:marRight w:val="0"/>
                              <w:marTop w:val="0"/>
                              <w:marBottom w:val="0"/>
                              <w:divBdr>
                                <w:top w:val="none" w:sz="0" w:space="0" w:color="auto"/>
                                <w:left w:val="none" w:sz="0" w:space="0" w:color="auto"/>
                                <w:bottom w:val="none" w:sz="0" w:space="0" w:color="auto"/>
                                <w:right w:val="none" w:sz="0" w:space="0" w:color="auto"/>
                              </w:divBdr>
                              <w:divsChild>
                                <w:div w:id="583688444">
                                  <w:marLeft w:val="0"/>
                                  <w:marRight w:val="0"/>
                                  <w:marTop w:val="0"/>
                                  <w:marBottom w:val="0"/>
                                  <w:divBdr>
                                    <w:top w:val="none" w:sz="0" w:space="0" w:color="auto"/>
                                    <w:left w:val="none" w:sz="0" w:space="0" w:color="auto"/>
                                    <w:bottom w:val="none" w:sz="0" w:space="0" w:color="auto"/>
                                    <w:right w:val="none" w:sz="0" w:space="0" w:color="auto"/>
                                  </w:divBdr>
                                  <w:divsChild>
                                    <w:div w:id="90599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347719">
      <w:bodyDiv w:val="1"/>
      <w:marLeft w:val="0"/>
      <w:marRight w:val="0"/>
      <w:marTop w:val="0"/>
      <w:marBottom w:val="0"/>
      <w:divBdr>
        <w:top w:val="none" w:sz="0" w:space="0" w:color="auto"/>
        <w:left w:val="none" w:sz="0" w:space="0" w:color="auto"/>
        <w:bottom w:val="none" w:sz="0" w:space="0" w:color="auto"/>
        <w:right w:val="none" w:sz="0" w:space="0" w:color="auto"/>
      </w:divBdr>
      <w:divsChild>
        <w:div w:id="1253856050">
          <w:marLeft w:val="0"/>
          <w:marRight w:val="0"/>
          <w:marTop w:val="0"/>
          <w:marBottom w:val="0"/>
          <w:divBdr>
            <w:top w:val="none" w:sz="0" w:space="0" w:color="auto"/>
            <w:left w:val="none" w:sz="0" w:space="0" w:color="auto"/>
            <w:bottom w:val="none" w:sz="0" w:space="0" w:color="auto"/>
            <w:right w:val="none" w:sz="0" w:space="0" w:color="auto"/>
          </w:divBdr>
          <w:divsChild>
            <w:div w:id="860896893">
              <w:marLeft w:val="0"/>
              <w:marRight w:val="0"/>
              <w:marTop w:val="100"/>
              <w:marBottom w:val="100"/>
              <w:divBdr>
                <w:top w:val="none" w:sz="0" w:space="0" w:color="auto"/>
                <w:left w:val="none" w:sz="0" w:space="0" w:color="auto"/>
                <w:bottom w:val="none" w:sz="0" w:space="0" w:color="auto"/>
                <w:right w:val="none" w:sz="0" w:space="0" w:color="auto"/>
              </w:divBdr>
              <w:divsChild>
                <w:div w:id="300422714">
                  <w:marLeft w:val="0"/>
                  <w:marRight w:val="0"/>
                  <w:marTop w:val="0"/>
                  <w:marBottom w:val="0"/>
                  <w:divBdr>
                    <w:top w:val="none" w:sz="0" w:space="0" w:color="auto"/>
                    <w:left w:val="none" w:sz="0" w:space="0" w:color="auto"/>
                    <w:bottom w:val="none" w:sz="0" w:space="0" w:color="auto"/>
                    <w:right w:val="none" w:sz="0" w:space="0" w:color="auto"/>
                  </w:divBdr>
                  <w:divsChild>
                    <w:div w:id="2072265052">
                      <w:marLeft w:val="0"/>
                      <w:marRight w:val="0"/>
                      <w:marTop w:val="0"/>
                      <w:marBottom w:val="0"/>
                      <w:divBdr>
                        <w:top w:val="none" w:sz="0" w:space="0" w:color="auto"/>
                        <w:left w:val="none" w:sz="0" w:space="0" w:color="auto"/>
                        <w:bottom w:val="none" w:sz="0" w:space="0" w:color="auto"/>
                        <w:right w:val="none" w:sz="0" w:space="0" w:color="auto"/>
                      </w:divBdr>
                      <w:divsChild>
                        <w:div w:id="1850220489">
                          <w:marLeft w:val="0"/>
                          <w:marRight w:val="0"/>
                          <w:marTop w:val="100"/>
                          <w:marBottom w:val="100"/>
                          <w:divBdr>
                            <w:top w:val="none" w:sz="0" w:space="0" w:color="auto"/>
                            <w:left w:val="none" w:sz="0" w:space="0" w:color="auto"/>
                            <w:bottom w:val="none" w:sz="0" w:space="0" w:color="auto"/>
                            <w:right w:val="none" w:sz="0" w:space="0" w:color="auto"/>
                          </w:divBdr>
                          <w:divsChild>
                            <w:div w:id="1344357270">
                              <w:marLeft w:val="0"/>
                              <w:marRight w:val="0"/>
                              <w:marTop w:val="0"/>
                              <w:marBottom w:val="0"/>
                              <w:divBdr>
                                <w:top w:val="none" w:sz="0" w:space="0" w:color="auto"/>
                                <w:left w:val="none" w:sz="0" w:space="0" w:color="auto"/>
                                <w:bottom w:val="none" w:sz="0" w:space="0" w:color="auto"/>
                                <w:right w:val="none" w:sz="0" w:space="0" w:color="auto"/>
                              </w:divBdr>
                              <w:divsChild>
                                <w:div w:id="851920196">
                                  <w:marLeft w:val="0"/>
                                  <w:marRight w:val="0"/>
                                  <w:marTop w:val="0"/>
                                  <w:marBottom w:val="0"/>
                                  <w:divBdr>
                                    <w:top w:val="none" w:sz="0" w:space="0" w:color="auto"/>
                                    <w:left w:val="none" w:sz="0" w:space="0" w:color="auto"/>
                                    <w:bottom w:val="none" w:sz="0" w:space="0" w:color="auto"/>
                                    <w:right w:val="none" w:sz="0" w:space="0" w:color="auto"/>
                                  </w:divBdr>
                                  <w:divsChild>
                                    <w:div w:id="185803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713767">
      <w:bodyDiv w:val="1"/>
      <w:marLeft w:val="0"/>
      <w:marRight w:val="0"/>
      <w:marTop w:val="0"/>
      <w:marBottom w:val="0"/>
      <w:divBdr>
        <w:top w:val="none" w:sz="0" w:space="0" w:color="auto"/>
        <w:left w:val="none" w:sz="0" w:space="0" w:color="auto"/>
        <w:bottom w:val="none" w:sz="0" w:space="0" w:color="auto"/>
        <w:right w:val="none" w:sz="0" w:space="0" w:color="auto"/>
      </w:divBdr>
      <w:divsChild>
        <w:div w:id="751271363">
          <w:marLeft w:val="0"/>
          <w:marRight w:val="0"/>
          <w:marTop w:val="0"/>
          <w:marBottom w:val="0"/>
          <w:divBdr>
            <w:top w:val="none" w:sz="0" w:space="0" w:color="auto"/>
            <w:left w:val="none" w:sz="0" w:space="0" w:color="auto"/>
            <w:bottom w:val="none" w:sz="0" w:space="0" w:color="auto"/>
            <w:right w:val="none" w:sz="0" w:space="0" w:color="auto"/>
          </w:divBdr>
          <w:divsChild>
            <w:div w:id="898630247">
              <w:marLeft w:val="0"/>
              <w:marRight w:val="0"/>
              <w:marTop w:val="100"/>
              <w:marBottom w:val="100"/>
              <w:divBdr>
                <w:top w:val="none" w:sz="0" w:space="0" w:color="auto"/>
                <w:left w:val="none" w:sz="0" w:space="0" w:color="auto"/>
                <w:bottom w:val="none" w:sz="0" w:space="0" w:color="auto"/>
                <w:right w:val="none" w:sz="0" w:space="0" w:color="auto"/>
              </w:divBdr>
              <w:divsChild>
                <w:div w:id="946817818">
                  <w:marLeft w:val="0"/>
                  <w:marRight w:val="0"/>
                  <w:marTop w:val="0"/>
                  <w:marBottom w:val="0"/>
                  <w:divBdr>
                    <w:top w:val="none" w:sz="0" w:space="0" w:color="auto"/>
                    <w:left w:val="none" w:sz="0" w:space="0" w:color="auto"/>
                    <w:bottom w:val="none" w:sz="0" w:space="0" w:color="auto"/>
                    <w:right w:val="none" w:sz="0" w:space="0" w:color="auto"/>
                  </w:divBdr>
                  <w:divsChild>
                    <w:div w:id="1536119064">
                      <w:marLeft w:val="0"/>
                      <w:marRight w:val="0"/>
                      <w:marTop w:val="0"/>
                      <w:marBottom w:val="0"/>
                      <w:divBdr>
                        <w:top w:val="none" w:sz="0" w:space="0" w:color="auto"/>
                        <w:left w:val="none" w:sz="0" w:space="0" w:color="auto"/>
                        <w:bottom w:val="none" w:sz="0" w:space="0" w:color="auto"/>
                        <w:right w:val="none" w:sz="0" w:space="0" w:color="auto"/>
                      </w:divBdr>
                      <w:divsChild>
                        <w:div w:id="2027974856">
                          <w:marLeft w:val="0"/>
                          <w:marRight w:val="0"/>
                          <w:marTop w:val="100"/>
                          <w:marBottom w:val="100"/>
                          <w:divBdr>
                            <w:top w:val="none" w:sz="0" w:space="0" w:color="auto"/>
                            <w:left w:val="none" w:sz="0" w:space="0" w:color="auto"/>
                            <w:bottom w:val="none" w:sz="0" w:space="0" w:color="auto"/>
                            <w:right w:val="none" w:sz="0" w:space="0" w:color="auto"/>
                          </w:divBdr>
                          <w:divsChild>
                            <w:div w:id="2026899643">
                              <w:marLeft w:val="0"/>
                              <w:marRight w:val="0"/>
                              <w:marTop w:val="0"/>
                              <w:marBottom w:val="0"/>
                              <w:divBdr>
                                <w:top w:val="none" w:sz="0" w:space="0" w:color="auto"/>
                                <w:left w:val="none" w:sz="0" w:space="0" w:color="auto"/>
                                <w:bottom w:val="none" w:sz="0" w:space="0" w:color="auto"/>
                                <w:right w:val="none" w:sz="0" w:space="0" w:color="auto"/>
                              </w:divBdr>
                              <w:divsChild>
                                <w:div w:id="1722514504">
                                  <w:marLeft w:val="0"/>
                                  <w:marRight w:val="0"/>
                                  <w:marTop w:val="0"/>
                                  <w:marBottom w:val="0"/>
                                  <w:divBdr>
                                    <w:top w:val="none" w:sz="0" w:space="0" w:color="auto"/>
                                    <w:left w:val="none" w:sz="0" w:space="0" w:color="auto"/>
                                    <w:bottom w:val="none" w:sz="0" w:space="0" w:color="auto"/>
                                    <w:right w:val="none" w:sz="0" w:space="0" w:color="auto"/>
                                  </w:divBdr>
                                  <w:divsChild>
                                    <w:div w:id="15064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New York City Health and Hospitals Corporation</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Jun</dc:creator>
  <cp:keywords/>
  <dc:description/>
  <cp:lastModifiedBy>Ma, Jun</cp:lastModifiedBy>
  <cp:revision>1</cp:revision>
  <dcterms:created xsi:type="dcterms:W3CDTF">2019-09-18T04:50:00Z</dcterms:created>
  <dcterms:modified xsi:type="dcterms:W3CDTF">2019-09-18T05:16:00Z</dcterms:modified>
</cp:coreProperties>
</file>